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CF" w:rsidRDefault="00A163FA" w:rsidP="00A163FA">
      <w:pPr>
        <w:pStyle w:val="a4"/>
        <w:spacing w:afterLines="50" w:after="180" w:line="560" w:lineRule="exact"/>
        <w:ind w:left="692" w:hangingChars="173" w:hanging="692"/>
        <w:jc w:val="center"/>
        <w:rPr>
          <w:rFonts w:eastAsia="標楷體" w:hAnsi="標楷體" w:hint="eastAsia"/>
          <w:sz w:val="40"/>
          <w:szCs w:val="40"/>
        </w:rPr>
      </w:pPr>
      <w:bookmarkStart w:id="0" w:name="_GoBack"/>
      <w:bookmarkEnd w:id="0"/>
      <w:r w:rsidRPr="00A163FA">
        <w:rPr>
          <w:rFonts w:eastAsia="標楷體" w:hAnsi="標楷體" w:hint="eastAsia"/>
          <w:sz w:val="40"/>
          <w:szCs w:val="40"/>
        </w:rPr>
        <w:t>乳品加工廠收購酪農原料生乳驗收及計價要點第二點附表</w:t>
      </w:r>
      <w:r w:rsidR="00AF45CF" w:rsidRPr="008667F1">
        <w:rPr>
          <w:rFonts w:eastAsia="標楷體" w:hAnsi="標楷體"/>
          <w:sz w:val="40"/>
          <w:szCs w:val="40"/>
        </w:rPr>
        <w:t>生乳驗收無脂固形物</w:t>
      </w:r>
      <w:r w:rsidR="004B5F6A">
        <w:rPr>
          <w:rFonts w:eastAsia="標楷體" w:hAnsi="標楷體" w:hint="eastAsia"/>
          <w:sz w:val="40"/>
          <w:szCs w:val="40"/>
        </w:rPr>
        <w:t>率</w:t>
      </w:r>
      <w:r w:rsidR="00AF45CF" w:rsidRPr="008667F1">
        <w:rPr>
          <w:rFonts w:eastAsia="標楷體" w:hAnsi="標楷體"/>
          <w:sz w:val="40"/>
          <w:szCs w:val="40"/>
        </w:rPr>
        <w:t>及乳脂率綜合計價表</w:t>
      </w:r>
      <w:r w:rsidRPr="00A163FA">
        <w:rPr>
          <w:rFonts w:eastAsia="標楷體" w:hAnsi="標楷體" w:hint="eastAsia"/>
          <w:sz w:val="40"/>
          <w:szCs w:val="40"/>
        </w:rPr>
        <w:t>修正規定</w:t>
      </w:r>
    </w:p>
    <w:p w:rsidR="00340AC9" w:rsidRPr="00246BF1" w:rsidRDefault="00340AC9" w:rsidP="00EB5816">
      <w:pPr>
        <w:ind w:rightChars="-190" w:right="-456"/>
        <w:jc w:val="right"/>
        <w:rPr>
          <w:rFonts w:eastAsia="標楷體"/>
          <w:bCs/>
        </w:rPr>
      </w:pPr>
      <w:r w:rsidRPr="00246BF1">
        <w:rPr>
          <w:rFonts w:eastAsia="標楷體" w:hAnsi="標楷體"/>
          <w:bCs/>
        </w:rPr>
        <w:t>（單位：新臺幣）</w:t>
      </w:r>
    </w:p>
    <w:tbl>
      <w:tblPr>
        <w:tblW w:w="15467" w:type="dxa"/>
        <w:jc w:val="center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599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599"/>
        <w:gridCol w:w="600"/>
        <w:gridCol w:w="600"/>
        <w:gridCol w:w="599"/>
        <w:gridCol w:w="600"/>
        <w:gridCol w:w="600"/>
      </w:tblGrid>
      <w:tr w:rsidR="00134E98" w:rsidRPr="00F77A9C" w:rsidTr="008005ED">
        <w:trPr>
          <w:trHeight w:val="427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98" w:rsidRPr="00F77A9C" w:rsidRDefault="00134E98" w:rsidP="003E58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無脂固形物率(</w:t>
            </w:r>
            <w:r w:rsidRPr="00F77A9C">
              <w:rPr>
                <w:rFonts w:eastAsia="標楷體"/>
                <w:b/>
                <w:bCs/>
                <w:kern w:val="0"/>
                <w:sz w:val="20"/>
                <w:szCs w:val="20"/>
              </w:rPr>
              <w:t>SNF</w:t>
            </w:r>
            <w:r w:rsidRPr="00F77A9C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,%</w:t>
            </w:r>
            <w:r w:rsidRPr="00F77A9C">
              <w:rPr>
                <w:rFonts w:eastAsia="標楷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E98" w:rsidRPr="00F77A9C" w:rsidRDefault="00134E98" w:rsidP="00B35906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8.00-8.16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E98" w:rsidRPr="00F77A9C" w:rsidRDefault="00134E98" w:rsidP="00B35906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8.17-8.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98" w:rsidRPr="00F77A9C" w:rsidRDefault="00134E98" w:rsidP="00F33CEB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33</w:t>
            </w:r>
            <w:r w:rsidRPr="00F77A9C">
              <w:rPr>
                <w:b/>
                <w:bCs/>
                <w:kern w:val="0"/>
                <w:sz w:val="20"/>
                <w:szCs w:val="20"/>
              </w:rPr>
              <w:t>-8.48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98" w:rsidRPr="00F77A9C" w:rsidRDefault="00134E98" w:rsidP="00B35906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8.49-8.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98" w:rsidRPr="00F77A9C" w:rsidRDefault="00134E98" w:rsidP="00F41F99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65</w:t>
            </w:r>
            <w:r w:rsidRPr="00F77A9C">
              <w:rPr>
                <w:b/>
                <w:bCs/>
                <w:kern w:val="0"/>
                <w:sz w:val="20"/>
                <w:szCs w:val="20"/>
              </w:rPr>
              <w:t>-8.80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98" w:rsidRPr="00F77A9C" w:rsidRDefault="00134E98" w:rsidP="00F41F99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8.81-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 w:rsidRPr="00F77A9C">
              <w:rPr>
                <w:b/>
                <w:bCs/>
                <w:kern w:val="0"/>
                <w:sz w:val="20"/>
                <w:szCs w:val="20"/>
              </w:rPr>
              <w:t>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E98" w:rsidRPr="00F77A9C" w:rsidRDefault="00134E98" w:rsidP="00F41F99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9</w:t>
            </w:r>
            <w:r w:rsidRPr="00F77A9C">
              <w:rPr>
                <w:b/>
                <w:bCs/>
                <w:kern w:val="0"/>
                <w:sz w:val="20"/>
                <w:szCs w:val="20"/>
              </w:rPr>
              <w:t>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00</w:t>
            </w:r>
            <w:r w:rsidRPr="00F77A9C">
              <w:rPr>
                <w:b/>
                <w:bCs/>
                <w:kern w:val="0"/>
                <w:sz w:val="20"/>
                <w:szCs w:val="20"/>
              </w:rPr>
              <w:t>-9.17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E98" w:rsidRPr="00F77A9C" w:rsidRDefault="00134E98" w:rsidP="00B35906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9.18</w:t>
            </w:r>
            <w:r w:rsidRPr="00F77A9C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以上</w:t>
            </w:r>
          </w:p>
        </w:tc>
      </w:tr>
      <w:tr w:rsidR="00EB5816" w:rsidRPr="00F77A9C" w:rsidTr="00EB5816">
        <w:trPr>
          <w:trHeight w:val="10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F77A9C">
              <w:rPr>
                <w:kern w:val="0"/>
                <w:sz w:val="20"/>
                <w:szCs w:val="20"/>
              </w:rPr>
              <w:t xml:space="preserve">      </w:t>
            </w:r>
            <w:r w:rsidRPr="00F77A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期別</w:t>
            </w:r>
            <w:r w:rsidRPr="00F77A9C">
              <w:rPr>
                <w:kern w:val="0"/>
                <w:sz w:val="20"/>
                <w:szCs w:val="20"/>
              </w:rPr>
              <w:t xml:space="preserve"> </w:t>
            </w:r>
          </w:p>
          <w:p w:rsidR="00F33CEB" w:rsidRPr="00F77A9C" w:rsidRDefault="00F33CEB" w:rsidP="00F77A9C">
            <w:pPr>
              <w:widowControl/>
              <w:ind w:left="200" w:hangingChars="100" w:hanging="200"/>
              <w:rPr>
                <w:rFonts w:hint="eastAsia"/>
                <w:kern w:val="0"/>
                <w:sz w:val="20"/>
                <w:szCs w:val="20"/>
              </w:rPr>
            </w:pPr>
            <w:r w:rsidRPr="00F77A9C">
              <w:rPr>
                <w:kern w:val="0"/>
                <w:sz w:val="20"/>
                <w:szCs w:val="20"/>
              </w:rPr>
              <w:t xml:space="preserve">      </w:t>
            </w:r>
          </w:p>
          <w:p w:rsidR="00F33CEB" w:rsidRPr="00F77A9C" w:rsidRDefault="00F33CEB" w:rsidP="00F77A9C">
            <w:pPr>
              <w:widowControl/>
              <w:ind w:left="200" w:hangingChars="100" w:hanging="200"/>
              <w:rPr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乳脂率﹪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7A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夏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2.8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16.35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21.24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16.45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21.35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23.35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16.55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16.66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16.76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21.81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23.81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16.97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21.93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23.93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2.9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23.12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18.15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25.24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18.25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23.35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25.35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18.35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18.46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18.56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18.67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23.81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25.81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18.77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23.93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25.93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19.85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25.12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19.95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25.24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27.24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25.35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20.15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20.26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20.36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25.81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27.81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20.57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25.93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27.93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3.1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25.52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27.52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20.31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25.64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27.64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20.41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25.75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20.51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25.87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27.87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25.98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20.72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20.83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26.21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20.93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26.33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28.33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3.2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20.93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26.32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28.44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21.13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21.23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26.67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28.67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21.34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26.78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21.44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21.55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29.01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27.13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29.13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3.3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21.18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26.61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28.61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26.78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21.49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21.64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27.28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29.28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21.95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27.61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29.61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22.26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29.78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3.4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21.64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21.84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27.34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29.34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22.05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22.25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29.77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29.99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22.66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22.87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28.42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30.42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3.5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21.61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27.09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29.09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27.31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29.31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22.02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27.53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29.53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22.23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29.96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22.64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28.18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30.18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22.84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30.39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28.61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30.61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3.6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27.28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29.28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27.72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29.72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22.41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29.94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28.15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30.37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23.02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28.58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30.58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23.23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</w:t>
            </w:r>
            <w:r w:rsidRPr="00F77A9C"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21.97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27.47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27.69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29.69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22.38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27.91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29.91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28.13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30.13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22.79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30.34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30.56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23.20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30.77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23.41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30.99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22.15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29.66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22.36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27.88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22.77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28.32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30.32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28.53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30.53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23.18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23.38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30.96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23.59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31.18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3.9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22.33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27.85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28.07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30.07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30.29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22.95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28.51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30.51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23.15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30.72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23.36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30.94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31.15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23.77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29.37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31.37 </w:t>
            </w:r>
          </w:p>
        </w:tc>
      </w:tr>
      <w:tr w:rsidR="00EB5816" w:rsidRPr="00F77A9C" w:rsidTr="00EB5816">
        <w:trPr>
          <w:trHeight w:val="36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3E584E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kern w:val="0"/>
                <w:sz w:val="20"/>
                <w:szCs w:val="20"/>
              </w:rPr>
              <w:t>4.0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22.51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28.04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22.72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28.26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30.26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22.92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28.48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30.48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23.13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23.33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28.91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30.91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23.54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29.13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31.13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23.74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29.34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31.34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23.95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29.56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CEB" w:rsidRPr="00F77A9C" w:rsidRDefault="00F33CEB" w:rsidP="00B3590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F77A9C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31.56 </w:t>
            </w:r>
          </w:p>
        </w:tc>
      </w:tr>
    </w:tbl>
    <w:p w:rsidR="00AF45CF" w:rsidRPr="008667F1" w:rsidRDefault="00AF45CF" w:rsidP="00EB5816">
      <w:pPr>
        <w:ind w:leftChars="-665" w:left="-1596"/>
        <w:jc w:val="both"/>
        <w:rPr>
          <w:rFonts w:eastAsia="標楷體" w:hAnsi="標楷體" w:hint="eastAsia"/>
          <w:bCs/>
        </w:rPr>
      </w:pPr>
    </w:p>
    <w:p w:rsidR="00AF45CF" w:rsidRPr="00340AC9" w:rsidRDefault="00AF45CF" w:rsidP="00EB5816">
      <w:pPr>
        <w:ind w:leftChars="-186" w:left="-446"/>
        <w:jc w:val="both"/>
        <w:rPr>
          <w:rFonts w:eastAsia="標楷體"/>
          <w:bCs/>
        </w:rPr>
      </w:pPr>
      <w:r w:rsidRPr="00340AC9">
        <w:rPr>
          <w:rFonts w:eastAsia="標楷體" w:hAnsi="標楷體"/>
          <w:bCs/>
        </w:rPr>
        <w:t>備註：</w:t>
      </w:r>
      <w:r w:rsidRPr="00340AC9">
        <w:rPr>
          <w:rFonts w:eastAsia="標楷體"/>
          <w:bCs/>
        </w:rPr>
        <w:t>1.</w:t>
      </w:r>
      <w:r w:rsidRPr="00340AC9">
        <w:rPr>
          <w:rFonts w:eastAsia="標楷體" w:hAnsi="標楷體"/>
          <w:bCs/>
        </w:rPr>
        <w:t>乳脂率低於</w:t>
      </w:r>
      <w:r w:rsidRPr="00340AC9">
        <w:rPr>
          <w:rFonts w:eastAsia="標楷體"/>
          <w:bCs/>
        </w:rPr>
        <w:t>2.8</w:t>
      </w:r>
      <w:r w:rsidRPr="00340AC9">
        <w:rPr>
          <w:rFonts w:eastAsia="標楷體" w:hAnsi="標楷體"/>
          <w:bCs/>
        </w:rPr>
        <w:t>％者不予計價，無脂固形物</w:t>
      </w:r>
      <w:r w:rsidR="00D00646">
        <w:rPr>
          <w:rFonts w:eastAsia="標楷體" w:hAnsi="標楷體" w:hint="eastAsia"/>
          <w:bCs/>
        </w:rPr>
        <w:t>率</w:t>
      </w:r>
      <w:r w:rsidRPr="00340AC9">
        <w:rPr>
          <w:rFonts w:eastAsia="標楷體"/>
          <w:bCs/>
        </w:rPr>
        <w:t>8.0</w:t>
      </w:r>
      <w:r w:rsidR="00D00646">
        <w:rPr>
          <w:rFonts w:eastAsia="標楷體" w:hint="eastAsia"/>
          <w:bCs/>
        </w:rPr>
        <w:t>％</w:t>
      </w:r>
      <w:r w:rsidRPr="00340AC9">
        <w:rPr>
          <w:rFonts w:eastAsia="標楷體" w:hAnsi="標楷體"/>
          <w:bCs/>
        </w:rPr>
        <w:t>以下則不予計價。</w:t>
      </w:r>
    </w:p>
    <w:p w:rsidR="00055428" w:rsidRPr="008667F1" w:rsidRDefault="00AF45CF" w:rsidP="00F77A9C">
      <w:pPr>
        <w:pStyle w:val="a4"/>
        <w:spacing w:line="560" w:lineRule="exact"/>
        <w:ind w:leftChars="110" w:left="264" w:firstLineChars="0" w:firstLine="0"/>
        <w:rPr>
          <w:rFonts w:hint="eastAsia"/>
        </w:rPr>
      </w:pPr>
      <w:r w:rsidRPr="00340AC9">
        <w:rPr>
          <w:rFonts w:eastAsia="標楷體"/>
          <w:sz w:val="24"/>
        </w:rPr>
        <w:t>2.</w:t>
      </w:r>
      <w:r w:rsidRPr="00340AC9">
        <w:rPr>
          <w:rFonts w:eastAsia="標楷體" w:hAnsi="標楷體"/>
          <w:sz w:val="24"/>
        </w:rPr>
        <w:t>生乳計價以本表每公斤生乳為基準，其中冬期為每年</w:t>
      </w:r>
      <w:r w:rsidRPr="00340AC9">
        <w:rPr>
          <w:rFonts w:eastAsia="標楷體"/>
          <w:sz w:val="24"/>
        </w:rPr>
        <w:t>12</w:t>
      </w:r>
      <w:r w:rsidRPr="00340AC9">
        <w:rPr>
          <w:rFonts w:eastAsia="標楷體" w:hAnsi="標楷體"/>
          <w:sz w:val="24"/>
        </w:rPr>
        <w:t>月至翌年</w:t>
      </w:r>
      <w:r w:rsidRPr="00340AC9">
        <w:rPr>
          <w:rFonts w:eastAsia="標楷體"/>
          <w:sz w:val="24"/>
        </w:rPr>
        <w:t>3</w:t>
      </w:r>
      <w:r w:rsidRPr="00340AC9">
        <w:rPr>
          <w:rFonts w:eastAsia="標楷體" w:hAnsi="標楷體"/>
          <w:sz w:val="24"/>
        </w:rPr>
        <w:t>月，暖期為</w:t>
      </w:r>
      <w:r w:rsidRPr="00340AC9">
        <w:rPr>
          <w:rFonts w:eastAsia="標楷體"/>
          <w:sz w:val="24"/>
        </w:rPr>
        <w:t>4</w:t>
      </w:r>
      <w:r w:rsidRPr="00340AC9">
        <w:rPr>
          <w:rFonts w:eastAsia="標楷體" w:hAnsi="標楷體"/>
          <w:sz w:val="24"/>
        </w:rPr>
        <w:t>、</w:t>
      </w:r>
      <w:r w:rsidRPr="00340AC9">
        <w:rPr>
          <w:rFonts w:eastAsia="標楷體"/>
          <w:sz w:val="24"/>
        </w:rPr>
        <w:t>5</w:t>
      </w:r>
      <w:r w:rsidRPr="00340AC9">
        <w:rPr>
          <w:rFonts w:eastAsia="標楷體" w:hAnsi="標楷體"/>
          <w:sz w:val="24"/>
        </w:rPr>
        <w:t>、</w:t>
      </w:r>
      <w:r w:rsidRPr="00340AC9">
        <w:rPr>
          <w:rFonts w:eastAsia="標楷體"/>
          <w:sz w:val="24"/>
        </w:rPr>
        <w:t>10</w:t>
      </w:r>
      <w:r w:rsidRPr="00340AC9">
        <w:rPr>
          <w:rFonts w:eastAsia="標楷體" w:hAnsi="標楷體"/>
          <w:sz w:val="24"/>
        </w:rPr>
        <w:t>、</w:t>
      </w:r>
      <w:r w:rsidRPr="00340AC9">
        <w:rPr>
          <w:rFonts w:eastAsia="標楷體"/>
          <w:sz w:val="24"/>
        </w:rPr>
        <w:t>11</w:t>
      </w:r>
      <w:r w:rsidRPr="00340AC9">
        <w:rPr>
          <w:rFonts w:eastAsia="標楷體" w:hAnsi="標楷體"/>
          <w:sz w:val="24"/>
        </w:rPr>
        <w:t>月，夏期為每年</w:t>
      </w:r>
      <w:r w:rsidRPr="00340AC9">
        <w:rPr>
          <w:rFonts w:eastAsia="標楷體"/>
          <w:sz w:val="24"/>
        </w:rPr>
        <w:t>6</w:t>
      </w:r>
      <w:r w:rsidRPr="00340AC9">
        <w:rPr>
          <w:rFonts w:eastAsia="標楷體" w:hAnsi="標楷體"/>
          <w:sz w:val="24"/>
        </w:rPr>
        <w:t>月至</w:t>
      </w:r>
      <w:r w:rsidRPr="00340AC9">
        <w:rPr>
          <w:rFonts w:eastAsia="標楷體"/>
          <w:sz w:val="24"/>
        </w:rPr>
        <w:t>9</w:t>
      </w:r>
      <w:r w:rsidRPr="00340AC9">
        <w:rPr>
          <w:rFonts w:eastAsia="標楷體" w:hAnsi="標楷體"/>
          <w:sz w:val="24"/>
        </w:rPr>
        <w:t>月。</w:t>
      </w:r>
    </w:p>
    <w:sectPr w:rsidR="00055428" w:rsidRPr="008667F1" w:rsidSect="00EB6D37">
      <w:pgSz w:w="16840" w:h="11907" w:orient="landscape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57" w:rsidRDefault="00765C57" w:rsidP="00DF6A9F">
      <w:r>
        <w:separator/>
      </w:r>
    </w:p>
  </w:endnote>
  <w:endnote w:type="continuationSeparator" w:id="0">
    <w:p w:rsidR="00765C57" w:rsidRDefault="00765C57" w:rsidP="00D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57" w:rsidRDefault="00765C57" w:rsidP="00DF6A9F">
      <w:r>
        <w:separator/>
      </w:r>
    </w:p>
  </w:footnote>
  <w:footnote w:type="continuationSeparator" w:id="0">
    <w:p w:rsidR="00765C57" w:rsidRDefault="00765C57" w:rsidP="00DF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E71"/>
    <w:multiLevelType w:val="hybridMultilevel"/>
    <w:tmpl w:val="54C44F4C"/>
    <w:lvl w:ilvl="0" w:tplc="6DD02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277BEA"/>
    <w:multiLevelType w:val="hybridMultilevel"/>
    <w:tmpl w:val="30C0811C"/>
    <w:lvl w:ilvl="0" w:tplc="EC76F95E">
      <w:start w:val="1"/>
      <w:numFmt w:val="bullet"/>
      <w:pStyle w:val="a"/>
      <w:lvlText w:val=""/>
      <w:lvlJc w:val="left"/>
      <w:pPr>
        <w:tabs>
          <w:tab w:val="num" w:pos="1097"/>
        </w:tabs>
        <w:ind w:left="851" w:hanging="114"/>
      </w:pPr>
      <w:rPr>
        <w:rFonts w:ascii="Wingdings" w:eastAsia="文鼎中明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3"/>
    <w:rsid w:val="00030E47"/>
    <w:rsid w:val="00055428"/>
    <w:rsid w:val="000C482A"/>
    <w:rsid w:val="00134E98"/>
    <w:rsid w:val="00136A8B"/>
    <w:rsid w:val="00165C71"/>
    <w:rsid w:val="00170A5F"/>
    <w:rsid w:val="00173E02"/>
    <w:rsid w:val="00173E66"/>
    <w:rsid w:val="00195F84"/>
    <w:rsid w:val="001A50C3"/>
    <w:rsid w:val="0020004B"/>
    <w:rsid w:val="00246BF1"/>
    <w:rsid w:val="0028617C"/>
    <w:rsid w:val="00340329"/>
    <w:rsid w:val="00340AC9"/>
    <w:rsid w:val="003457C5"/>
    <w:rsid w:val="00366EFF"/>
    <w:rsid w:val="00373B91"/>
    <w:rsid w:val="003E584E"/>
    <w:rsid w:val="004B5F6A"/>
    <w:rsid w:val="005338E5"/>
    <w:rsid w:val="00550811"/>
    <w:rsid w:val="00556D5B"/>
    <w:rsid w:val="005F69F3"/>
    <w:rsid w:val="00676464"/>
    <w:rsid w:val="006D5347"/>
    <w:rsid w:val="006E2E13"/>
    <w:rsid w:val="00704028"/>
    <w:rsid w:val="00765C57"/>
    <w:rsid w:val="007A20DE"/>
    <w:rsid w:val="007C03B6"/>
    <w:rsid w:val="007C6794"/>
    <w:rsid w:val="008005ED"/>
    <w:rsid w:val="00815460"/>
    <w:rsid w:val="00822D03"/>
    <w:rsid w:val="0082681E"/>
    <w:rsid w:val="008667F1"/>
    <w:rsid w:val="008C4EA0"/>
    <w:rsid w:val="00940C04"/>
    <w:rsid w:val="00957876"/>
    <w:rsid w:val="009D1C57"/>
    <w:rsid w:val="009D65FB"/>
    <w:rsid w:val="00A163FA"/>
    <w:rsid w:val="00A54F4D"/>
    <w:rsid w:val="00A76627"/>
    <w:rsid w:val="00AA1E68"/>
    <w:rsid w:val="00AA41C6"/>
    <w:rsid w:val="00AF45CF"/>
    <w:rsid w:val="00B35906"/>
    <w:rsid w:val="00B4712C"/>
    <w:rsid w:val="00B47F13"/>
    <w:rsid w:val="00BA7361"/>
    <w:rsid w:val="00BF508E"/>
    <w:rsid w:val="00BF5AF8"/>
    <w:rsid w:val="00BF60B2"/>
    <w:rsid w:val="00C457B7"/>
    <w:rsid w:val="00C474CA"/>
    <w:rsid w:val="00C771A1"/>
    <w:rsid w:val="00D00646"/>
    <w:rsid w:val="00D75163"/>
    <w:rsid w:val="00DA2B31"/>
    <w:rsid w:val="00DC6929"/>
    <w:rsid w:val="00DF6A9F"/>
    <w:rsid w:val="00E049AB"/>
    <w:rsid w:val="00E35FB6"/>
    <w:rsid w:val="00EB5816"/>
    <w:rsid w:val="00EB6D37"/>
    <w:rsid w:val="00F0204B"/>
    <w:rsid w:val="00F33CEB"/>
    <w:rsid w:val="00F41F99"/>
    <w:rsid w:val="00F77A9C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一"/>
    <w:basedOn w:val="a0"/>
    <w:pPr>
      <w:spacing w:line="340" w:lineRule="exact"/>
      <w:ind w:left="200" w:hangingChars="200" w:hanging="200"/>
      <w:jc w:val="both"/>
    </w:pPr>
    <w:rPr>
      <w:sz w:val="22"/>
    </w:rPr>
  </w:style>
  <w:style w:type="paragraph" w:customStyle="1" w:styleId="a5">
    <w:name w:val="(一)"/>
    <w:basedOn w:val="a0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a6">
    <w:name w:val="說明"/>
    <w:basedOn w:val="a0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">
    <w:name w:val="黑點"/>
    <w:basedOn w:val="a0"/>
    <w:pPr>
      <w:numPr>
        <w:numId w:val="1"/>
      </w:numPr>
      <w:tabs>
        <w:tab w:val="num" w:leader="none" w:pos="1097"/>
        <w:tab w:val="left" w:pos="1650"/>
      </w:tabs>
      <w:spacing w:line="340" w:lineRule="exact"/>
      <w:ind w:leftChars="700" w:left="870" w:hangingChars="170" w:hanging="170"/>
      <w:jc w:val="both"/>
    </w:pPr>
    <w:rPr>
      <w:sz w:val="22"/>
    </w:rPr>
  </w:style>
  <w:style w:type="paragraph" w:customStyle="1" w:styleId="a7">
    <w:name w:val="大標"/>
    <w:basedOn w:val="a0"/>
    <w:rsid w:val="00676464"/>
    <w:pPr>
      <w:spacing w:afterLines="50" w:after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customStyle="1" w:styleId="a8">
    <w:name w:val="表文"/>
    <w:basedOn w:val="a0"/>
    <w:rsid w:val="00676464"/>
    <w:pPr>
      <w:spacing w:line="280" w:lineRule="exact"/>
      <w:jc w:val="both"/>
    </w:pPr>
    <w:rPr>
      <w:sz w:val="22"/>
    </w:rPr>
  </w:style>
  <w:style w:type="table" w:styleId="a9">
    <w:name w:val="Table Grid"/>
    <w:basedOn w:val="a2"/>
    <w:rsid w:val="00A766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DF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F6A9F"/>
    <w:rPr>
      <w:kern w:val="2"/>
    </w:rPr>
  </w:style>
  <w:style w:type="paragraph" w:styleId="ac">
    <w:name w:val="footer"/>
    <w:basedOn w:val="a0"/>
    <w:link w:val="ad"/>
    <w:rsid w:val="00DF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DF6A9F"/>
    <w:rPr>
      <w:kern w:val="2"/>
    </w:rPr>
  </w:style>
  <w:style w:type="paragraph" w:styleId="ae">
    <w:name w:val="Balloon Text"/>
    <w:basedOn w:val="a0"/>
    <w:link w:val="af"/>
    <w:rsid w:val="001A50C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1A50C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一"/>
    <w:basedOn w:val="a0"/>
    <w:pPr>
      <w:spacing w:line="340" w:lineRule="exact"/>
      <w:ind w:left="200" w:hangingChars="200" w:hanging="200"/>
      <w:jc w:val="both"/>
    </w:pPr>
    <w:rPr>
      <w:sz w:val="22"/>
    </w:rPr>
  </w:style>
  <w:style w:type="paragraph" w:customStyle="1" w:styleId="a5">
    <w:name w:val="(一)"/>
    <w:basedOn w:val="a0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a6">
    <w:name w:val="說明"/>
    <w:basedOn w:val="a0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">
    <w:name w:val="黑點"/>
    <w:basedOn w:val="a0"/>
    <w:pPr>
      <w:numPr>
        <w:numId w:val="1"/>
      </w:numPr>
      <w:tabs>
        <w:tab w:val="num" w:leader="none" w:pos="1097"/>
        <w:tab w:val="left" w:pos="1650"/>
      </w:tabs>
      <w:spacing w:line="340" w:lineRule="exact"/>
      <w:ind w:leftChars="700" w:left="870" w:hangingChars="170" w:hanging="170"/>
      <w:jc w:val="both"/>
    </w:pPr>
    <w:rPr>
      <w:sz w:val="22"/>
    </w:rPr>
  </w:style>
  <w:style w:type="paragraph" w:customStyle="1" w:styleId="a7">
    <w:name w:val="大標"/>
    <w:basedOn w:val="a0"/>
    <w:rsid w:val="00676464"/>
    <w:pPr>
      <w:spacing w:afterLines="50" w:after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customStyle="1" w:styleId="a8">
    <w:name w:val="表文"/>
    <w:basedOn w:val="a0"/>
    <w:rsid w:val="00676464"/>
    <w:pPr>
      <w:spacing w:line="280" w:lineRule="exact"/>
      <w:jc w:val="both"/>
    </w:pPr>
    <w:rPr>
      <w:sz w:val="22"/>
    </w:rPr>
  </w:style>
  <w:style w:type="table" w:styleId="a9">
    <w:name w:val="Table Grid"/>
    <w:basedOn w:val="a2"/>
    <w:rsid w:val="00A766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DF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F6A9F"/>
    <w:rPr>
      <w:kern w:val="2"/>
    </w:rPr>
  </w:style>
  <w:style w:type="paragraph" w:styleId="ac">
    <w:name w:val="footer"/>
    <w:basedOn w:val="a0"/>
    <w:link w:val="ad"/>
    <w:rsid w:val="00DF6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DF6A9F"/>
    <w:rPr>
      <w:kern w:val="2"/>
    </w:rPr>
  </w:style>
  <w:style w:type="paragraph" w:styleId="ae">
    <w:name w:val="Balloon Text"/>
    <w:basedOn w:val="a0"/>
    <w:link w:val="af"/>
    <w:rsid w:val="001A50C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1A50C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8D7E-833F-4C6D-8F26-519D54B6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COA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行政規則格式</dc:title>
  <dc:creator>LA6027</dc:creator>
  <cp:lastModifiedBy>法規會江若瑩</cp:lastModifiedBy>
  <cp:revision>2</cp:revision>
  <cp:lastPrinted>2013-10-22T06:09:00Z</cp:lastPrinted>
  <dcterms:created xsi:type="dcterms:W3CDTF">2014-07-01T03:35:00Z</dcterms:created>
  <dcterms:modified xsi:type="dcterms:W3CDTF">2014-07-01T03:35:00Z</dcterms:modified>
</cp:coreProperties>
</file>